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4256" w:rsidRDefault="006A4256">
      <w:bookmarkStart w:id="0" w:name="_GoBack"/>
      <w:bookmarkEnd w:id="0"/>
    </w:p>
    <w:tbl>
      <w:tblPr>
        <w:tblStyle w:val="a5"/>
        <w:tblW w:w="10446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1785"/>
        <w:gridCol w:w="3330"/>
        <w:gridCol w:w="780"/>
        <w:gridCol w:w="261"/>
        <w:gridCol w:w="4290"/>
      </w:tblGrid>
      <w:tr w:rsidR="006A4256">
        <w:tc>
          <w:tcPr>
            <w:tcW w:w="51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noProof/>
              </w:rPr>
              <w:drawing>
                <wp:inline distT="0" distB="0" distL="114300" distR="114300">
                  <wp:extent cx="361950" cy="38100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6A4256">
        <w:tc>
          <w:tcPr>
            <w:tcW w:w="51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6A4256">
            <w:pPr>
              <w:ind w:left="-100"/>
              <w:contextualSpacing w:val="0"/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6A4256">
            <w:pPr>
              <w:ind w:left="-100"/>
              <w:contextualSpacing w:val="0"/>
            </w:pP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4256">
        <w:trPr>
          <w:trHeight w:val="360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ΕΛΛΗΝΙΚΗ ΔΗΜΟΚΡΑΤΙΑ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Κομοτηνή,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-06- 2015</w:t>
            </w:r>
          </w:p>
        </w:tc>
      </w:tr>
      <w:tr w:rsidR="006A4256">
        <w:trPr>
          <w:trHeight w:val="140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ΠΕΡΙΦΕΡΕΙΑ 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ΑΝΑΤΟΛΙΚΗΣ ΜΑΚΕΔΟΝΙΑΣ – ΘΡΑΚΗΣ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Αριθ. Πρωτ.: οικ. 3462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256"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ΓΡΑΦΕΙΟ ΠΕΡΙΦΕΡΕΙΑΡΧΗ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25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Ταχ. Δ/νση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Ταχ. Κώδικας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Πληροφορίες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Τηλέφωνο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ΦΑΞ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:Γ. Κακουλίδου 1, Κομοτηνή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69100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Γραφείο Περιφερειάρχη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25313-52100-2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25313-52155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periferiarxis@pamth.gov.gr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ΠΡΟΣ: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4256" w:rsidRDefault="006A4256">
            <w:pPr>
              <w:ind w:left="-100"/>
              <w:contextualSpacing w:val="0"/>
              <w:jc w:val="both"/>
            </w:pPr>
          </w:p>
          <w:p w:rsidR="006A4256" w:rsidRDefault="006A4256">
            <w:pPr>
              <w:ind w:left="-100" w:right="165"/>
              <w:contextualSpacing w:val="0"/>
              <w:jc w:val="both"/>
            </w:pPr>
          </w:p>
          <w:p w:rsidR="006A4256" w:rsidRDefault="006A4256">
            <w:pPr>
              <w:ind w:left="-100" w:right="165"/>
              <w:contextualSpacing w:val="0"/>
              <w:jc w:val="both"/>
            </w:pPr>
          </w:p>
          <w:p w:rsidR="006A4256" w:rsidRDefault="006A4256">
            <w:pPr>
              <w:ind w:left="-100" w:right="165"/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6A4256">
            <w:pPr>
              <w:contextualSpacing w:val="0"/>
              <w:jc w:val="both"/>
            </w:pPr>
          </w:p>
          <w:p w:rsidR="006A4256" w:rsidRDefault="007A48C7">
            <w:pPr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ΚΟΙΝ:</w:t>
            </w:r>
          </w:p>
        </w:tc>
        <w:tc>
          <w:tcPr>
            <w:tcW w:w="429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A4256" w:rsidRDefault="007A48C7">
            <w:pPr>
              <w:numPr>
                <w:ilvl w:val="0"/>
                <w:numId w:val="1"/>
              </w:numPr>
              <w:spacing w:after="240"/>
              <w:ind w:left="165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Υπουργ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Παραγωγικής Ανασυγκρότησης, Περιβάλλοντος και Ενέργειας, κ. Παναγιώτη Λαφαζάνη,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Αμαλιάδος 17, 11523, Αθήνα</w:t>
            </w:r>
          </w:p>
          <w:p w:rsidR="006A4256" w:rsidRDefault="007A48C7">
            <w:pPr>
              <w:numPr>
                <w:ilvl w:val="0"/>
                <w:numId w:val="1"/>
              </w:numPr>
              <w:spacing w:after="240"/>
              <w:ind w:left="165" w:hanging="18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Ειδική Γραμματέας Διαχείρισης Τομεακών ΕΠ του ΕΤΠΑ, κ. Φωτονιάτα Ευγενία, Υπουργείο Οικονομίας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Υποδομών, Ναυτιλίας και Τουρισμού,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Νίκης 5/7, 10180, Αθήνα</w:t>
            </w:r>
          </w:p>
          <w:p w:rsidR="006A4256" w:rsidRDefault="007A48C7">
            <w:pPr>
              <w:numPr>
                <w:ilvl w:val="0"/>
                <w:numId w:val="1"/>
              </w:numPr>
              <w:spacing w:after="240"/>
              <w:ind w:left="165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Πρόεδρο ΔΕΠΑ, κ. Γιώργο Σπανούδη,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Δημόσια Επιχείρηση Αερίου Α.Ε., Μαρίνου Αντύπα 92, 141 21, Ν. Ηράκλ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ειο Αττικής</w:t>
            </w:r>
          </w:p>
        </w:tc>
      </w:tr>
      <w:tr w:rsidR="006A425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6A4256">
            <w:pPr>
              <w:ind w:left="-100"/>
              <w:contextualSpacing w:val="0"/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6A4256">
            <w:pPr>
              <w:contextualSpacing w:val="0"/>
            </w:pPr>
          </w:p>
          <w:p w:rsidR="006A4256" w:rsidRDefault="007A48C7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Όπως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Πίνακας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Αποδεκτών</w:t>
            </w:r>
          </w:p>
        </w:tc>
      </w:tr>
      <w:tr w:rsidR="006A425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7A48C7">
            <w:pPr>
              <w:ind w:left="-10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6A4256">
            <w:pPr>
              <w:ind w:left="-100"/>
              <w:contextualSpacing w:val="0"/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256" w:rsidRDefault="006A4256">
            <w:pPr>
              <w:ind w:left="-100"/>
              <w:contextualSpacing w:val="0"/>
            </w:pPr>
          </w:p>
        </w:tc>
      </w:tr>
    </w:tbl>
    <w:p w:rsidR="006A4256" w:rsidRDefault="007A48C7">
      <w:pPr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Θέμα: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Ανυπαρξία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δικτύου παροχής φυσικού αερίου για οικιακούς χρήστες στις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μεγάλες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πόλεις της ΠΑΜ-Θ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παρά τη διέλευση των κεντρικών αγωγών.</w:t>
      </w:r>
    </w:p>
    <w:p w:rsidR="006A4256" w:rsidRDefault="006A4256"/>
    <w:p w:rsidR="006A4256" w:rsidRDefault="006A4256"/>
    <w:p w:rsidR="006A4256" w:rsidRDefault="007A48C7">
      <w:pPr>
        <w:ind w:firstLine="720"/>
      </w:pPr>
      <w:r>
        <w:rPr>
          <w:rFonts w:ascii="Times New Roman" w:eastAsia="Times New Roman" w:hAnsi="Times New Roman" w:cs="Times New Roman"/>
          <w:sz w:val="26"/>
          <w:szCs w:val="26"/>
        </w:rPr>
        <w:t>Αξιότιμε κ. Υπουργέ,</w:t>
      </w:r>
    </w:p>
    <w:p w:rsidR="006A4256" w:rsidRDefault="006A4256"/>
    <w:p w:rsidR="006A4256" w:rsidRDefault="007A48C7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Είναι γνωστό ότι η Περιφέρεια Ανατολικής Μακεδονίας - Θράκης είναι ο χώρος από τον οποίο διέρχονται όσοι αγωγοί εισέρχονται στην Ελλάδα για την παροχή φυσικού αερίου και θα διέρχονται όσοι αγωγοί φυσικού αερίου ή πετρελαίου θα εισέρχονται στην χώρα λόγω τη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ς γεωγραφ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ικής της θέση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ς. Ονομαζόμαστε, εδώ και πάρα πολλά χρόνια,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lastRenderedPageBreak/>
        <w:t>“ενεργειακός κόμβος”.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Όμως, η ενέργεια που διέρχεται μέσα από τους αγωγούς και η οποία επιβαρύνει ολόκληρες περιοχές, επιβραδύνει την ανάπτυξη, διαιρεί τον αναπτυξιακό χώρο, δημιουργεί προβλήματα επικοινωνίας, απωθεί και περιορίζει την επέκταση των οικισμών, παρά ταύ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τα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δεν υπά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ρχει δυνατότητα για οικιακή χρήση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ως τώρα από τους κατοίκους της ΠΑΜ-Θ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:rsidR="006A4256" w:rsidRDefault="006A4256">
      <w:pPr>
        <w:spacing w:line="360" w:lineRule="auto"/>
        <w:ind w:firstLine="720"/>
        <w:jc w:val="both"/>
      </w:pPr>
    </w:p>
    <w:p w:rsidR="006A4256" w:rsidRDefault="007A48C7">
      <w:pPr>
        <w:spacing w:line="360" w:lineRule="auto"/>
        <w:ind w:firstLine="720"/>
        <w:jc w:val="both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Παρότι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χρησιμοποιούμαστε ως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“ενεργειακός κόμβος” φυσικού αερίου αποκλειόμαστε της οικιακής χρήσης του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με ένα τρόπο ο οποίος ηθικά αλλά και από πλευράς δικαίου δεν είναι αποδεκτός πλέο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ν από την κοινωνία μας. Εκτός τούτου, η περιοχή μας η οποία έχει χειμώνα διάρκειας περίπου οκτώμισι (8.5) μηνών και στην οποία καταγράφονται ιδιαίτερα χαμηλές θερμοκρασίες, καταναλώνει τεράστιες ποσότητες πετρελαίου και εμμέσως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πληρώνει φόρους που τους υπο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λογίζουμε περί τα 250 εκατομμύρια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ε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υρώ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 Εννοούμε, έμμεσους φόρους. Αντίστοιχα, περιοχές που καταναλώνουν φυσικό αέριο του οποίου η τιμή είναι μισή, και από πλευράς φόρου και από πλευράς πραγματικού κόστους, σε σχέση με την τιμή απόκτησης του πετρελαίου θέρ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μανσης ενώ ταυτόχρονα έχουν και πολύ μικρότερο χειμώνα και αντίστοιχα υψηλότερες θερμοκρασίες πληρώνουν έμμεσους φόρους που μετά βίας ανέρχονται στο 1/10 του κόστους των φόρων που πληρώνει ένα νοικοκυριό στην περιοχή μας. Πέραν της χρήσης της περιοχής μας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για την διέλευση όλων των αγωγών έχουμε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προφανή άνιση φορολογική μεταχείριση. </w:t>
      </w:r>
    </w:p>
    <w:p w:rsidR="006A4256" w:rsidRDefault="006A4256">
      <w:pPr>
        <w:spacing w:line="360" w:lineRule="auto"/>
        <w:ind w:firstLine="720"/>
        <w:jc w:val="both"/>
      </w:pPr>
    </w:p>
    <w:p w:rsidR="006A4256" w:rsidRDefault="007A48C7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Η ΔΕΠΑ εως αυτή τη χρονική στιγμή δεν έχει προχωρήσει στη σύσταση ΕΠΑ στην Ανατολική Μακεδονία και Θράκη. Παρότι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δ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ύο φορές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διεξήχθη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ο αντίστοιχος διαγωνισμός με ένα υπάρχον πλα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ίσιο το οποίο προφανώς δε δημιουργεί τις προϋποθέσεις, οι διαγωνισμοί αυτοί κατέστησαν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άγονοι.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Όμως, είναι προκλητικά άδικο, θα λέγαμε, το γεγονός ότι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οι πολίτες της ΠΑΜ-Θ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πληρών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ουν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250 εκ ευρώ ετησίως για εμμέσους φόρους ενώ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η Περιφέρειά μας αποτελεί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το σ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ημείο διέλευσης όλων των αγωγών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 xml:space="preserve">και την ίδια στιγμή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να μην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διορθώνεται το νομικό πλαίσιο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ή να μην εξευρίσκεται εναλλακτική λύση.</w:t>
      </w:r>
    </w:p>
    <w:p w:rsidR="006A4256" w:rsidRDefault="006A4256">
      <w:pPr>
        <w:spacing w:line="360" w:lineRule="auto"/>
        <w:ind w:firstLine="720"/>
        <w:jc w:val="both"/>
      </w:pPr>
    </w:p>
    <w:p w:rsidR="006A4256" w:rsidRDefault="007A48C7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Με την παρούσα επιστολή και λαμβάνοντας υπόψη, ότι το σύνολο της κοινωνίας αλλά και των θεσμικών φορέων θεωρεί ότι πρέπει να α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ποκατασταθεί η αδικία και ότι δεν θα ανεχθεί τη διέλευση άλλων αγωγών αν δεν υπάρξει διόρθωση ως προς το ζήτημα της οικιακής χρήσης αλλά και των ανταποδοτικών τελών θα θέλαμε να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τονίσουμε τα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εξής:</w:t>
      </w:r>
    </w:p>
    <w:p w:rsidR="006A4256" w:rsidRDefault="006A4256">
      <w:pPr>
        <w:spacing w:line="360" w:lineRule="auto"/>
        <w:ind w:firstLine="720"/>
        <w:jc w:val="both"/>
      </w:pPr>
    </w:p>
    <w:p w:rsidR="006A4256" w:rsidRDefault="007A48C7">
      <w:pPr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Πρέπει άμεσα από το νέο ΕΣΠΑ 2014-2020 να δρομολογηθεί η 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πέκταση των δικτύων σε όλες τις μεγάλες πόλεις της Περιφέρειάς μας που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βρίσκονται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κατά μήκος ένθεν και ένθεν του συγκεκριμένου αγωγού δηλαδή της Κομοτηνής, της Ξάνθης, της Καβάλας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της Δράμας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της Αλεξανδρούπο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λης και της Ορεστιάδας σε πρώτη φάση.</w:t>
      </w:r>
    </w:p>
    <w:p w:rsidR="006A4256" w:rsidRDefault="006A4256">
      <w:pPr>
        <w:spacing w:line="360" w:lineRule="auto"/>
        <w:jc w:val="both"/>
      </w:pPr>
    </w:p>
    <w:p w:rsidR="006A4256" w:rsidRDefault="007A48C7">
      <w:pPr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Να δημιουργηθεί ΕΠΑ αφού προηγουμένως τροποποιηθεί η σχετική νομοθεσία και αφού δοθεί η ορθή εικόνα ότι ούτε η Ευρωπαϊκή Ένωση μπορεί να χρησιμοποιεί μια περιοχή και στη συνέχεια να οχυρώνεται σ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όρους ανταγωνισμού που είναι προκλητικά άδικοι για την εκείν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η.</w:t>
      </w:r>
    </w:p>
    <w:p w:rsidR="006A4256" w:rsidRDefault="006A4256">
      <w:pPr>
        <w:spacing w:line="360" w:lineRule="auto"/>
        <w:jc w:val="both"/>
      </w:pPr>
    </w:p>
    <w:p w:rsidR="006A4256" w:rsidRDefault="007A48C7">
      <w:pPr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Υπάρχει ένας πρώτος σχεδιασμός για την περιοχή που μέσα από το τομεακό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πρόγραμμα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του  ΕΣΠΑ 2014-2020 συμπεριλαμβάνει την κατασκευή μικρής κλίμακας δικτύων οικιακής χρήσης για την Αλεξανδρούπολη, την Κομοτηνή και τη Δράμα και που παραλείπει άλλα σημεία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διέλευσης προκαλώντας μεγάλη ζημία άλλων τοπικών κοινωνιών της Περιφέρειάς μας, της Ξάνθης της Καβάλας και της Ορεστιάδας, σε πρώτη φάση. Αυτό πρέπει να διορθωθεί άμεσα. Η Περιφέρειά μας είναι διατεθειμένη να συμβάλει χρηματοδοτικά σε αυτό,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διαμέσου του ΕΠ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του νέου ΕΣΠΑ 2014-2020. </w:t>
      </w:r>
    </w:p>
    <w:p w:rsidR="006A4256" w:rsidRDefault="006A4256">
      <w:pPr>
        <w:spacing w:line="360" w:lineRule="auto"/>
        <w:jc w:val="both"/>
      </w:pPr>
    </w:p>
    <w:p w:rsidR="006A4256" w:rsidRDefault="007A48C7">
      <w:pPr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Επιβάλλεται να υπάρξει πρόνοια για ανταποδοτικά τέλη και ναι μεν υπάρχει μια ευρεία οδηγία στην Ευρωπαϊκή Ένωση η οποία αναφέρει το αντίθετο, προφανώς όμως η συγκεκριμένη οδηγία δε μπορεί να έχει αποικιοκρατικό χαρακτήρα σε βάρο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ς του τόπου μας εκτός αν προβλεφθεί ότι θα υπάρξει ένα πάγιο ανταποδοτικό τέλος ή ευρεία παροχή κοινωνικής ευθύνης ώστε να εξισορροπείται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η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υστέρηση στην ανταποδοτικότητα της ανάπτυξης που μας επιφέρει η διέλευση των αγωγών.</w:t>
      </w:r>
    </w:p>
    <w:p w:rsidR="006A4256" w:rsidRDefault="006A4256">
      <w:pPr>
        <w:spacing w:line="360" w:lineRule="auto"/>
        <w:jc w:val="both"/>
      </w:pPr>
    </w:p>
    <w:p w:rsidR="006A4256" w:rsidRDefault="007A48C7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Κ. Υπουργέ, η Περιφέρειά μας και οι κάτοικοί της για το θέμα αυτό, αισθάνονται έντονα το αίσθημα της αδικίας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από την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συνέχιση της υφιστάμενης κατάστασης.</w:t>
      </w:r>
    </w:p>
    <w:p w:rsidR="006A4256" w:rsidRDefault="006A4256">
      <w:pPr>
        <w:spacing w:line="360" w:lineRule="auto"/>
        <w:jc w:val="both"/>
      </w:pPr>
    </w:p>
    <w:p w:rsidR="006A4256" w:rsidRDefault="007A48C7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Παρακαλούμε να δώσετε τις σχετικές εντολές τόσο για τις νομοθετικές διορθώσεις όσο και για την επέκτα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ση των δικτύων προς οικιακή χρήση.</w:t>
      </w:r>
    </w:p>
    <w:p w:rsidR="006A4256" w:rsidRDefault="007A48C7">
      <w:pPr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Με εκτίμηση,</w:t>
      </w:r>
    </w:p>
    <w:p w:rsidR="006A4256" w:rsidRDefault="006A4256">
      <w:pPr>
        <w:jc w:val="right"/>
      </w:pPr>
    </w:p>
    <w:p w:rsidR="006A4256" w:rsidRDefault="006A4256">
      <w:pPr>
        <w:jc w:val="right"/>
      </w:pPr>
    </w:p>
    <w:p w:rsidR="006A4256" w:rsidRDefault="006A4256">
      <w:pPr>
        <w:jc w:val="center"/>
      </w:pPr>
    </w:p>
    <w:p w:rsidR="006A4256" w:rsidRDefault="007A48C7">
      <w:pPr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Γεώργιος Παυλίδης</w:t>
      </w:r>
    </w:p>
    <w:p w:rsidR="006A4256" w:rsidRDefault="007A48C7">
      <w:pPr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Περιφερειάρχης Αν. Μακεδονίας και Θράκης</w:t>
      </w:r>
    </w:p>
    <w:p w:rsidR="006A4256" w:rsidRDefault="006A4256">
      <w:pPr>
        <w:spacing w:line="360" w:lineRule="auto"/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>
      <w:pPr>
        <w:jc w:val="both"/>
      </w:pPr>
    </w:p>
    <w:p w:rsidR="006A4256" w:rsidRDefault="006A4256"/>
    <w:p w:rsidR="006A4256" w:rsidRDefault="006A4256"/>
    <w:p w:rsidR="006A4256" w:rsidRDefault="007A48C7">
      <w:r>
        <w:rPr>
          <w:rFonts w:ascii="Times New Roman" w:eastAsia="Times New Roman" w:hAnsi="Times New Roman" w:cs="Times New Roman"/>
          <w:b/>
        </w:rPr>
        <w:lastRenderedPageBreak/>
        <w:t>ΠΙΝΑΚΑΣ ΑΠΟΔΕΚΤΩΝ</w:t>
      </w:r>
    </w:p>
    <w:p w:rsidR="006A4256" w:rsidRDefault="006A4256"/>
    <w:p w:rsidR="006A4256" w:rsidRDefault="007A48C7">
      <w:r>
        <w:rPr>
          <w:rFonts w:ascii="Times New Roman" w:eastAsia="Times New Roman" w:hAnsi="Times New Roman" w:cs="Times New Roman"/>
          <w:b/>
        </w:rPr>
        <w:t>Βουλευτές Ν. Δράμας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Καραγιαννίδη Χρήστο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Κυριαζίδη Δημήτριο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Χαρακίδη Κυριάκο</w:t>
      </w:r>
    </w:p>
    <w:p w:rsidR="006A4256" w:rsidRDefault="007A48C7">
      <w:r>
        <w:rPr>
          <w:rFonts w:ascii="Times New Roman" w:eastAsia="Times New Roman" w:hAnsi="Times New Roman" w:cs="Times New Roman"/>
          <w:b/>
        </w:rPr>
        <w:t>Βουλευτές Ν. Έβρου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Καϊσα Γεώργιο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 Γκάρα Αναστασία (Νατάσα)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Ρίζο Δημήτριο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 κ. Δημοσχάκη Αναστάσιο</w:t>
      </w:r>
    </w:p>
    <w:p w:rsidR="006A4256" w:rsidRDefault="007A48C7">
      <w:r>
        <w:rPr>
          <w:rFonts w:ascii="Times New Roman" w:eastAsia="Times New Roman" w:hAnsi="Times New Roman" w:cs="Times New Roman"/>
          <w:b/>
        </w:rPr>
        <w:t>Βουλευτές Ν. Καβάλας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 Εμμανουηλίδη Δημήτριο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Ιωαννίδη Η</w:t>
      </w:r>
      <w:r>
        <w:rPr>
          <w:rFonts w:ascii="Times New Roman" w:eastAsia="Times New Roman" w:hAnsi="Times New Roman" w:cs="Times New Roman"/>
          <w:sz w:val="20"/>
          <w:szCs w:val="20"/>
        </w:rPr>
        <w:t>λίας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Τσανάκα Αλεξάνδρα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Παναγιωτόπουλο Νικόλαο</w:t>
      </w:r>
    </w:p>
    <w:p w:rsidR="006A4256" w:rsidRDefault="007A48C7">
      <w:r>
        <w:rPr>
          <w:rFonts w:ascii="Times New Roman" w:eastAsia="Times New Roman" w:hAnsi="Times New Roman" w:cs="Times New Roman"/>
          <w:b/>
        </w:rPr>
        <w:t>Βουλευτές Ν. Ξάνθης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Γιαννακίδη Ευστάθιο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Ζεϊμπέκ Χουσεΐν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Κοντό Αλέξανδρο</w:t>
      </w:r>
    </w:p>
    <w:p w:rsidR="006A4256" w:rsidRDefault="007A48C7">
      <w:r>
        <w:rPr>
          <w:rFonts w:ascii="Times New Roman" w:eastAsia="Times New Roman" w:hAnsi="Times New Roman" w:cs="Times New Roman"/>
          <w:b/>
        </w:rPr>
        <w:t>Βουλευτές Ν. Ροδόπης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Μουσταφά Μουσταφά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Καρά Γιουσούφ Αϊχαν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Βουλευτής κ. Στυλιανίδη Ευριπίδη</w:t>
      </w:r>
    </w:p>
    <w:p w:rsidR="006A4256" w:rsidRDefault="007A48C7">
      <w:r>
        <w:rPr>
          <w:rFonts w:ascii="Times New Roman" w:eastAsia="Times New Roman" w:hAnsi="Times New Roman" w:cs="Times New Roman"/>
          <w:b/>
        </w:rPr>
        <w:t>Χωρικοί Αντιπεριφερειάρχες ΠΑΜ-Θ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Αντιπεριφερειάρχης Ν. Έβρου, κ. Πέτροβιτς Δημήτριος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Αντιπεριφερειάρχης Ν. Ροδόπης, κ. Μέτιος Χρήστος  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Αντιπεριφερειάρχης Ν. Ξάνθης, κ. Ζαγναφέρη Κωνσταντίνο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Αντιπεριφερειάρχης Ν. Καβάλας, κ. Μαρκόπουλο Θεόδωρο 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Αντιπεριφερειάρχης Ν. Δράμας, κ. Πατακάκης Ανάργυρος </w:t>
      </w:r>
    </w:p>
    <w:p w:rsidR="006A4256" w:rsidRDefault="007A48C7">
      <w:r>
        <w:rPr>
          <w:rFonts w:ascii="Times New Roman" w:eastAsia="Times New Roman" w:hAnsi="Times New Roman" w:cs="Times New Roman"/>
          <w:b/>
        </w:rPr>
        <w:t>Θεματικοί Αντιπεριφερειάρχες ΠΑΜ-Θ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Αντιπεριφερειάρχης Τουρισμού, κ. Αμοιρίδη Μιχαήλ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Αντιπεριφερειάρχης Αγροτικής Οικονομίας, κ. Παπαδόπουλος Σωτήρι</w:t>
      </w:r>
      <w:r>
        <w:rPr>
          <w:rFonts w:ascii="Times New Roman" w:eastAsia="Times New Roman" w:hAnsi="Times New Roman" w:cs="Times New Roman"/>
          <w:sz w:val="20"/>
          <w:szCs w:val="20"/>
        </w:rPr>
        <w:t>ος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Αντιπεριφερειάρχης Υγείας &amp; Κοινωνικής Αλληλεγγύης, κ. Γεωργιτσόπουλος Χρήστος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Αντιπεριφερειάρχης Οικονομικών, κ. Κατραντζή Μουσταφά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Αντιπεριφερειάρχης Ανάπτυξης &amp; Εξυπηρέτησης των Πολιτών, κ. Εξακουστός Κων/νος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Αντιπεριφερειάρχης Πολιτισμού, Περιβάλλον</w:t>
      </w:r>
      <w:r>
        <w:rPr>
          <w:rFonts w:ascii="Times New Roman" w:eastAsia="Times New Roman" w:hAnsi="Times New Roman" w:cs="Times New Roman"/>
          <w:sz w:val="20"/>
          <w:szCs w:val="20"/>
        </w:rPr>
        <w:t>τος, κ. Ζάχαρη Ζηνοβία</w:t>
      </w:r>
    </w:p>
    <w:p w:rsidR="006A4256" w:rsidRDefault="007A48C7">
      <w:r>
        <w:rPr>
          <w:rFonts w:ascii="Times New Roman" w:eastAsia="Times New Roman" w:hAnsi="Times New Roman" w:cs="Times New Roman"/>
          <w:b/>
        </w:rPr>
        <w:t>Περιφερειακή Ένωση Δήμων ΠΑΜ-Θ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Πρόεδρο ΠΕΔ, κ. Λαμπάκη Ευάγγελο</w:t>
      </w:r>
    </w:p>
    <w:p w:rsidR="006A4256" w:rsidRDefault="007A48C7">
      <w:r>
        <w:rPr>
          <w:rFonts w:ascii="Times New Roman" w:eastAsia="Times New Roman" w:hAnsi="Times New Roman" w:cs="Times New Roman"/>
          <w:b/>
        </w:rPr>
        <w:t>Επιμελητήρια ΠΑΜ-Θ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Πρόεδρο Τεχνικού Επιμελητηρίου, Παράρτημα Αν. Μακεδονίας, κ. Κυριαζίδη Δημήτρη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Πρόεδρο Τεχνικού Επιμελητηρίου, Παράρτημα Θράκης, κ. Παπαθανασίου  Νικό</w:t>
      </w:r>
      <w:r>
        <w:rPr>
          <w:rFonts w:ascii="Times New Roman" w:eastAsia="Times New Roman" w:hAnsi="Times New Roman" w:cs="Times New Roman"/>
          <w:sz w:val="20"/>
          <w:szCs w:val="20"/>
        </w:rPr>
        <w:t>λαο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Πρόεδρο Επιμελητηρίου Δράμας, κ. Γεωργιάδη  Στέφανο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Πρόεδρο Επιμελητηρίου Καβάλας, κ. Τσατσούλη Άγγελο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Πρόεδρο Επιμελητηρίου Ξάνθης, κ. Μωραϊτη  Στέλιο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Πρόεδρο Εμπορικού Βιομηχανικού Επιμελητηρίου Ροδόπης,  κ. Αγγελίδη Νικόλαο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Πρόεδρο Επιμελητηρίου Έβρου, κ. Τοψίδη Χριστόδουλο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Πρόεδρο Επαγγελματικού Βιοτεχνικού Επιμελητηρίου Ροδόπης, κ. Αργυρόπουλο Αργύρη </w:t>
      </w:r>
    </w:p>
    <w:p w:rsidR="006A4256" w:rsidRDefault="007A48C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Πρόεδρο Εμπορικού – Βιομηχανικού Επιμελητηρίου Ροδόπης, κ. Αγγελίδη Νικόλαο</w:t>
      </w:r>
    </w:p>
    <w:p w:rsidR="006A4256" w:rsidRDefault="006A4256">
      <w:pPr>
        <w:ind w:left="330"/>
      </w:pPr>
    </w:p>
    <w:sectPr w:rsidR="006A425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C7" w:rsidRDefault="007A48C7">
      <w:pPr>
        <w:spacing w:line="240" w:lineRule="auto"/>
      </w:pPr>
      <w:r>
        <w:separator/>
      </w:r>
    </w:p>
  </w:endnote>
  <w:endnote w:type="continuationSeparator" w:id="0">
    <w:p w:rsidR="007A48C7" w:rsidRDefault="007A4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56" w:rsidRDefault="007A48C7">
    <w:pPr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923B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C7" w:rsidRDefault="007A48C7">
      <w:pPr>
        <w:spacing w:line="240" w:lineRule="auto"/>
      </w:pPr>
      <w:r>
        <w:separator/>
      </w:r>
    </w:p>
  </w:footnote>
  <w:footnote w:type="continuationSeparator" w:id="0">
    <w:p w:rsidR="007A48C7" w:rsidRDefault="007A48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4C6D"/>
    <w:multiLevelType w:val="multilevel"/>
    <w:tmpl w:val="5E181BD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600"/>
      </w:pPr>
    </w:lvl>
  </w:abstractNum>
  <w:abstractNum w:abstractNumId="1">
    <w:nsid w:val="384274E2"/>
    <w:multiLevelType w:val="multilevel"/>
    <w:tmpl w:val="C8C4A6DA"/>
    <w:lvl w:ilvl="0">
      <w:start w:val="1"/>
      <w:numFmt w:val="decimal"/>
      <w:lvlText w:val="%1."/>
      <w:lvlJc w:val="left"/>
      <w:pPr>
        <w:ind w:left="780" w:firstLine="420"/>
      </w:pPr>
    </w:lvl>
    <w:lvl w:ilvl="1">
      <w:start w:val="1"/>
      <w:numFmt w:val="lowerLetter"/>
      <w:lvlText w:val="%2."/>
      <w:lvlJc w:val="left"/>
      <w:pPr>
        <w:ind w:left="1500" w:firstLine="1140"/>
      </w:pPr>
    </w:lvl>
    <w:lvl w:ilvl="2">
      <w:start w:val="1"/>
      <w:numFmt w:val="lowerRoman"/>
      <w:lvlText w:val="%3."/>
      <w:lvlJc w:val="right"/>
      <w:pPr>
        <w:ind w:left="2220" w:firstLine="2040"/>
      </w:pPr>
    </w:lvl>
    <w:lvl w:ilvl="3">
      <w:start w:val="1"/>
      <w:numFmt w:val="decimal"/>
      <w:lvlText w:val="%4."/>
      <w:lvlJc w:val="left"/>
      <w:pPr>
        <w:ind w:left="2940" w:firstLine="2580"/>
      </w:pPr>
    </w:lvl>
    <w:lvl w:ilvl="4">
      <w:start w:val="1"/>
      <w:numFmt w:val="lowerLetter"/>
      <w:lvlText w:val="%5."/>
      <w:lvlJc w:val="left"/>
      <w:pPr>
        <w:ind w:left="3660" w:firstLine="3300"/>
      </w:pPr>
    </w:lvl>
    <w:lvl w:ilvl="5">
      <w:start w:val="1"/>
      <w:numFmt w:val="lowerRoman"/>
      <w:lvlText w:val="%6."/>
      <w:lvlJc w:val="right"/>
      <w:pPr>
        <w:ind w:left="4380" w:firstLine="4200"/>
      </w:pPr>
    </w:lvl>
    <w:lvl w:ilvl="6">
      <w:start w:val="1"/>
      <w:numFmt w:val="decimal"/>
      <w:lvlText w:val="%7."/>
      <w:lvlJc w:val="left"/>
      <w:pPr>
        <w:ind w:left="5100" w:firstLine="4740"/>
      </w:pPr>
    </w:lvl>
    <w:lvl w:ilvl="7">
      <w:start w:val="1"/>
      <w:numFmt w:val="lowerLetter"/>
      <w:lvlText w:val="%8."/>
      <w:lvlJc w:val="left"/>
      <w:pPr>
        <w:ind w:left="5820" w:firstLine="5460"/>
      </w:pPr>
    </w:lvl>
    <w:lvl w:ilvl="8">
      <w:start w:val="1"/>
      <w:numFmt w:val="lowerRoman"/>
      <w:lvlText w:val="%9."/>
      <w:lvlJc w:val="right"/>
      <w:pPr>
        <w:ind w:left="6540" w:firstLine="6360"/>
      </w:pPr>
    </w:lvl>
  </w:abstractNum>
  <w:abstractNum w:abstractNumId="2">
    <w:nsid w:val="64E3228A"/>
    <w:multiLevelType w:val="multilevel"/>
    <w:tmpl w:val="71C8A3AC"/>
    <w:lvl w:ilvl="0">
      <w:start w:val="1"/>
      <w:numFmt w:val="decimal"/>
      <w:lvlText w:val="%1."/>
      <w:lvlJc w:val="left"/>
      <w:pPr>
        <w:ind w:left="1440" w:firstLine="2520"/>
      </w:pPr>
    </w:lvl>
    <w:lvl w:ilvl="1">
      <w:start w:val="1"/>
      <w:numFmt w:val="lowerLetter"/>
      <w:lvlText w:val="%2."/>
      <w:lvlJc w:val="left"/>
      <w:pPr>
        <w:ind w:left="2160" w:firstLine="3960"/>
      </w:pPr>
    </w:lvl>
    <w:lvl w:ilvl="2">
      <w:start w:val="1"/>
      <w:numFmt w:val="lowerRoman"/>
      <w:lvlText w:val="%3."/>
      <w:lvlJc w:val="right"/>
      <w:pPr>
        <w:ind w:left="2880" w:firstLine="5400"/>
      </w:pPr>
    </w:lvl>
    <w:lvl w:ilvl="3">
      <w:start w:val="1"/>
      <w:numFmt w:val="decimal"/>
      <w:lvlText w:val="%4."/>
      <w:lvlJc w:val="left"/>
      <w:pPr>
        <w:ind w:left="3600" w:firstLine="6840"/>
      </w:pPr>
    </w:lvl>
    <w:lvl w:ilvl="4">
      <w:start w:val="1"/>
      <w:numFmt w:val="lowerLetter"/>
      <w:lvlText w:val="%5."/>
      <w:lvlJc w:val="left"/>
      <w:pPr>
        <w:ind w:left="4320" w:firstLine="8280"/>
      </w:pPr>
    </w:lvl>
    <w:lvl w:ilvl="5">
      <w:start w:val="1"/>
      <w:numFmt w:val="lowerRoman"/>
      <w:lvlText w:val="%6."/>
      <w:lvlJc w:val="right"/>
      <w:pPr>
        <w:ind w:left="5040" w:firstLine="9720"/>
      </w:pPr>
    </w:lvl>
    <w:lvl w:ilvl="6">
      <w:start w:val="1"/>
      <w:numFmt w:val="decimal"/>
      <w:lvlText w:val="%7."/>
      <w:lvlJc w:val="left"/>
      <w:pPr>
        <w:ind w:left="5760" w:firstLine="11160"/>
      </w:pPr>
    </w:lvl>
    <w:lvl w:ilvl="7">
      <w:start w:val="1"/>
      <w:numFmt w:val="lowerLetter"/>
      <w:lvlText w:val="%8."/>
      <w:lvlJc w:val="left"/>
      <w:pPr>
        <w:ind w:left="6480" w:firstLine="12600"/>
      </w:pPr>
    </w:lvl>
    <w:lvl w:ilvl="8">
      <w:start w:val="1"/>
      <w:numFmt w:val="lowerRoman"/>
      <w:lvlText w:val="%9."/>
      <w:lvlJc w:val="right"/>
      <w:pPr>
        <w:ind w:left="7200" w:firstLine="140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4256"/>
    <w:rsid w:val="006A4256"/>
    <w:rsid w:val="007A48C7"/>
    <w:rsid w:val="009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923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23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923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23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Typos</dc:creator>
  <cp:lastModifiedBy>Typos</cp:lastModifiedBy>
  <cp:revision>2</cp:revision>
  <dcterms:created xsi:type="dcterms:W3CDTF">2015-06-12T11:49:00Z</dcterms:created>
  <dcterms:modified xsi:type="dcterms:W3CDTF">2015-06-12T11:49:00Z</dcterms:modified>
</cp:coreProperties>
</file>